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79C0C1" w14:textId="73E7BECB" w:rsidR="009C05C3" w:rsidRDefault="009C05C3" w:rsidP="009C05C3">
      <w:pPr>
        <w:rPr>
          <w:b/>
          <w:bCs/>
          <w:sz w:val="36"/>
          <w:szCs w:val="36"/>
        </w:rPr>
      </w:pPr>
      <w:r>
        <w:rPr>
          <w:b/>
          <w:bCs/>
          <w:sz w:val="36"/>
          <w:szCs w:val="36"/>
        </w:rPr>
        <w:t>IFRS</w:t>
      </w:r>
      <w:r w:rsidRPr="009C05C3">
        <w:rPr>
          <w:b/>
          <w:bCs/>
          <w:sz w:val="36"/>
          <w:szCs w:val="36"/>
        </w:rPr>
        <w:t>®</w:t>
      </w:r>
    </w:p>
    <w:p w14:paraId="3EF1BC3A" w14:textId="14FF3986" w:rsidR="009C05C3" w:rsidRDefault="009C05C3" w:rsidP="009C05C3">
      <w:pPr>
        <w:rPr>
          <w:b/>
          <w:bCs/>
          <w:sz w:val="36"/>
          <w:szCs w:val="36"/>
        </w:rPr>
      </w:pPr>
      <w:r>
        <w:rPr>
          <w:b/>
          <w:bCs/>
          <w:sz w:val="36"/>
          <w:szCs w:val="36"/>
        </w:rPr>
        <w:t>ACCOUNTING</w:t>
      </w:r>
    </w:p>
    <w:p w14:paraId="7FD762A0" w14:textId="77777777" w:rsidR="009C05C3" w:rsidRDefault="009C05C3" w:rsidP="009C05C3">
      <w:pPr>
        <w:rPr>
          <w:b/>
          <w:bCs/>
          <w:sz w:val="36"/>
          <w:szCs w:val="36"/>
        </w:rPr>
      </w:pPr>
    </w:p>
    <w:p w14:paraId="044CFA96" w14:textId="48E477DE" w:rsidR="009C05C3" w:rsidRPr="009C05C3" w:rsidRDefault="009C05C3" w:rsidP="009C05C3">
      <w:pPr>
        <w:rPr>
          <w:b/>
          <w:bCs/>
          <w:sz w:val="36"/>
          <w:szCs w:val="36"/>
        </w:rPr>
      </w:pPr>
      <w:r w:rsidRPr="009C05C3">
        <w:rPr>
          <w:b/>
          <w:bCs/>
          <w:sz w:val="36"/>
          <w:szCs w:val="36"/>
        </w:rPr>
        <w:t>February 2026</w:t>
      </w:r>
    </w:p>
    <w:p w14:paraId="18360CEF" w14:textId="77777777" w:rsidR="009C05C3" w:rsidRPr="009C05C3" w:rsidRDefault="009C05C3" w:rsidP="009C05C3">
      <w:pPr>
        <w:rPr>
          <w:b/>
          <w:bCs/>
          <w:sz w:val="36"/>
          <w:szCs w:val="36"/>
        </w:rPr>
      </w:pPr>
      <w:r w:rsidRPr="009C05C3">
        <w:rPr>
          <w:b/>
          <w:bCs/>
          <w:sz w:val="36"/>
          <w:szCs w:val="36"/>
        </w:rPr>
        <w:t>Exposure Draft</w:t>
      </w:r>
    </w:p>
    <w:p w14:paraId="7401A9F9" w14:textId="6C9AE864" w:rsidR="009C05C3" w:rsidRDefault="009C05C3" w:rsidP="009C05C3">
      <w:pPr>
        <w:rPr>
          <w:b/>
          <w:bCs/>
          <w:sz w:val="36"/>
          <w:szCs w:val="36"/>
        </w:rPr>
      </w:pPr>
      <w:r w:rsidRPr="009C05C3">
        <w:rPr>
          <w:b/>
          <w:bCs/>
          <w:sz w:val="36"/>
          <w:szCs w:val="36"/>
        </w:rPr>
        <w:t>IFRS® Accounting Standard</w:t>
      </w:r>
    </w:p>
    <w:p w14:paraId="532F2EAC" w14:textId="5DEDB51B" w:rsidR="009C05C3" w:rsidRDefault="009C05C3" w:rsidP="009C05C3">
      <w:pPr>
        <w:rPr>
          <w:b/>
          <w:bCs/>
          <w:sz w:val="36"/>
          <w:szCs w:val="36"/>
        </w:rPr>
      </w:pPr>
      <w:r>
        <w:rPr>
          <w:b/>
          <w:bCs/>
          <w:sz w:val="36"/>
          <w:szCs w:val="36"/>
        </w:rPr>
        <w:t>______________________________________________________</w:t>
      </w:r>
    </w:p>
    <w:p w14:paraId="5E92AC90" w14:textId="77777777" w:rsidR="009C05C3" w:rsidRDefault="009C05C3" w:rsidP="009C05C3">
      <w:pPr>
        <w:jc w:val="center"/>
        <w:rPr>
          <w:b/>
          <w:bCs/>
          <w:sz w:val="36"/>
          <w:szCs w:val="36"/>
        </w:rPr>
      </w:pPr>
    </w:p>
    <w:p w14:paraId="1211B62C" w14:textId="0AEA6E35" w:rsidR="009C05C3" w:rsidRPr="009C05C3" w:rsidRDefault="009C05C3" w:rsidP="009C05C3">
      <w:pPr>
        <w:jc w:val="center"/>
        <w:rPr>
          <w:b/>
          <w:bCs/>
          <w:sz w:val="36"/>
          <w:szCs w:val="36"/>
        </w:rPr>
      </w:pPr>
      <w:r w:rsidRPr="009C05C3">
        <w:rPr>
          <w:b/>
          <w:bCs/>
          <w:sz w:val="36"/>
          <w:szCs w:val="36"/>
        </w:rPr>
        <w:t>Exposure Draft</w:t>
      </w:r>
    </w:p>
    <w:p w14:paraId="4C8664BD" w14:textId="77777777" w:rsidR="009C05C3" w:rsidRPr="009C05C3" w:rsidRDefault="009C05C3" w:rsidP="009C05C3">
      <w:pPr>
        <w:jc w:val="center"/>
        <w:rPr>
          <w:b/>
          <w:bCs/>
          <w:sz w:val="36"/>
          <w:szCs w:val="36"/>
        </w:rPr>
      </w:pPr>
    </w:p>
    <w:p w14:paraId="587F0751" w14:textId="77777777" w:rsidR="009C05C3" w:rsidRPr="009C05C3" w:rsidRDefault="009C05C3" w:rsidP="009C05C3">
      <w:pPr>
        <w:jc w:val="center"/>
        <w:rPr>
          <w:b/>
          <w:bCs/>
          <w:sz w:val="36"/>
          <w:szCs w:val="36"/>
        </w:rPr>
      </w:pPr>
      <w:r w:rsidRPr="009C05C3">
        <w:rPr>
          <w:b/>
          <w:bCs/>
          <w:sz w:val="36"/>
          <w:szCs w:val="36"/>
        </w:rPr>
        <w:t xml:space="preserve">Amendments to the Fair Value Option </w:t>
      </w:r>
    </w:p>
    <w:p w14:paraId="7BABBE21" w14:textId="734FD3D8" w:rsidR="009C05C3" w:rsidRPr="009C05C3" w:rsidRDefault="009C05C3" w:rsidP="009C05C3">
      <w:pPr>
        <w:jc w:val="center"/>
        <w:rPr>
          <w:b/>
          <w:bCs/>
          <w:sz w:val="36"/>
          <w:szCs w:val="36"/>
        </w:rPr>
      </w:pPr>
      <w:r w:rsidRPr="009C05C3">
        <w:rPr>
          <w:b/>
          <w:bCs/>
          <w:sz w:val="36"/>
          <w:szCs w:val="36"/>
        </w:rPr>
        <w:t xml:space="preserve">for Investments in Associates and Joint </w:t>
      </w:r>
    </w:p>
    <w:p w14:paraId="06A9E1CB" w14:textId="77777777" w:rsidR="009C05C3" w:rsidRPr="009C05C3" w:rsidRDefault="009C05C3" w:rsidP="009C05C3">
      <w:pPr>
        <w:jc w:val="center"/>
        <w:rPr>
          <w:b/>
          <w:bCs/>
          <w:sz w:val="36"/>
          <w:szCs w:val="36"/>
        </w:rPr>
      </w:pPr>
      <w:r w:rsidRPr="009C05C3">
        <w:rPr>
          <w:b/>
          <w:bCs/>
          <w:sz w:val="36"/>
          <w:szCs w:val="36"/>
        </w:rPr>
        <w:t>Ventures</w:t>
      </w:r>
    </w:p>
    <w:p w14:paraId="3E47D3AE" w14:textId="77777777" w:rsidR="009C05C3" w:rsidRPr="009C05C3" w:rsidRDefault="009C05C3" w:rsidP="009C05C3">
      <w:pPr>
        <w:jc w:val="center"/>
        <w:rPr>
          <w:b/>
          <w:bCs/>
          <w:sz w:val="36"/>
          <w:szCs w:val="36"/>
        </w:rPr>
      </w:pPr>
    </w:p>
    <w:p w14:paraId="6490971F" w14:textId="77777777" w:rsidR="009C05C3" w:rsidRPr="009C05C3" w:rsidRDefault="009C05C3" w:rsidP="009C05C3">
      <w:pPr>
        <w:jc w:val="center"/>
        <w:rPr>
          <w:b/>
          <w:bCs/>
          <w:sz w:val="36"/>
          <w:szCs w:val="36"/>
        </w:rPr>
      </w:pPr>
      <w:r w:rsidRPr="009C05C3">
        <w:rPr>
          <w:b/>
          <w:bCs/>
          <w:sz w:val="36"/>
          <w:szCs w:val="36"/>
        </w:rPr>
        <w:t>Proposed amendments to IAS 28</w:t>
      </w:r>
    </w:p>
    <w:p w14:paraId="68A6506A" w14:textId="1A026318" w:rsidR="00714B38" w:rsidRDefault="009C05C3" w:rsidP="009C05C3">
      <w:pPr>
        <w:jc w:val="center"/>
        <w:rPr>
          <w:sz w:val="28"/>
          <w:szCs w:val="28"/>
        </w:rPr>
      </w:pPr>
      <w:r w:rsidRPr="009C05C3">
        <w:rPr>
          <w:sz w:val="28"/>
          <w:szCs w:val="28"/>
        </w:rPr>
        <w:t>Comments to be received by 20 April 2026</w:t>
      </w:r>
    </w:p>
    <w:p w14:paraId="41FCF819" w14:textId="77777777" w:rsidR="009C05C3" w:rsidRDefault="009C05C3" w:rsidP="009C05C3">
      <w:pPr>
        <w:jc w:val="center"/>
        <w:rPr>
          <w:sz w:val="28"/>
          <w:szCs w:val="28"/>
        </w:rPr>
      </w:pPr>
    </w:p>
    <w:p w14:paraId="52DC9753" w14:textId="4A4D1A45" w:rsidR="009C05C3" w:rsidRDefault="009C05C3" w:rsidP="009C05C3">
      <w:pPr>
        <w:rPr>
          <w:sz w:val="28"/>
          <w:szCs w:val="28"/>
        </w:rPr>
      </w:pPr>
    </w:p>
    <w:p w14:paraId="0C776FF5" w14:textId="77777777" w:rsidR="009C05C3" w:rsidRDefault="009C05C3" w:rsidP="009C05C3">
      <w:pPr>
        <w:rPr>
          <w:sz w:val="28"/>
          <w:szCs w:val="28"/>
        </w:rPr>
      </w:pPr>
    </w:p>
    <w:p w14:paraId="1976AA22" w14:textId="77777777" w:rsidR="009C05C3" w:rsidRDefault="009C05C3" w:rsidP="009C05C3">
      <w:pPr>
        <w:rPr>
          <w:sz w:val="28"/>
          <w:szCs w:val="28"/>
        </w:rPr>
      </w:pPr>
    </w:p>
    <w:p w14:paraId="081625CA" w14:textId="77777777" w:rsidR="009C05C3" w:rsidRDefault="009C05C3" w:rsidP="009C05C3">
      <w:pPr>
        <w:rPr>
          <w:sz w:val="28"/>
          <w:szCs w:val="28"/>
        </w:rPr>
      </w:pPr>
    </w:p>
    <w:p w14:paraId="2961E22E" w14:textId="77777777" w:rsidR="009C05C3" w:rsidRDefault="009C05C3" w:rsidP="009C05C3">
      <w:pPr>
        <w:rPr>
          <w:sz w:val="28"/>
          <w:szCs w:val="28"/>
        </w:rPr>
      </w:pPr>
    </w:p>
    <w:tbl>
      <w:tblPr>
        <w:tblStyle w:val="TableGrid"/>
        <w:tblW w:w="0" w:type="auto"/>
        <w:tblLook w:val="04A0" w:firstRow="1" w:lastRow="0" w:firstColumn="1" w:lastColumn="0" w:noHBand="0" w:noVBand="1"/>
      </w:tblPr>
      <w:tblGrid>
        <w:gridCol w:w="9016"/>
      </w:tblGrid>
      <w:tr w:rsidR="009C05C3" w:rsidRPr="009C05C3" w14:paraId="72901504" w14:textId="77777777">
        <w:tc>
          <w:tcPr>
            <w:tcW w:w="9016" w:type="dxa"/>
          </w:tcPr>
          <w:p w14:paraId="330C1BB7" w14:textId="77777777" w:rsidR="009C05C3" w:rsidRPr="009C05C3" w:rsidRDefault="009C05C3" w:rsidP="00B77EE7">
            <w:pPr>
              <w:spacing w:line="360" w:lineRule="auto"/>
              <w:jc w:val="both"/>
              <w:rPr>
                <w:sz w:val="28"/>
                <w:szCs w:val="28"/>
              </w:rPr>
            </w:pPr>
            <w:r w:rsidRPr="009C05C3">
              <w:rPr>
                <w:sz w:val="28"/>
                <w:szCs w:val="28"/>
              </w:rPr>
              <w:lastRenderedPageBreak/>
              <w:t>Question 1—Proposed amendments to paragraphs 18–19 of IAS 28</w:t>
            </w:r>
          </w:p>
        </w:tc>
      </w:tr>
      <w:tr w:rsidR="009C05C3" w:rsidRPr="009C05C3" w14:paraId="71C72CD7" w14:textId="77777777">
        <w:tc>
          <w:tcPr>
            <w:tcW w:w="9016" w:type="dxa"/>
          </w:tcPr>
          <w:p w14:paraId="6E39FDDC" w14:textId="77777777" w:rsidR="009C05C3" w:rsidRDefault="009C05C3" w:rsidP="00B77EE7">
            <w:pPr>
              <w:spacing w:line="360" w:lineRule="auto"/>
              <w:jc w:val="both"/>
              <w:rPr>
                <w:sz w:val="28"/>
                <w:szCs w:val="28"/>
              </w:rPr>
            </w:pPr>
            <w:r w:rsidRPr="009C05C3">
              <w:rPr>
                <w:sz w:val="28"/>
                <w:szCs w:val="28"/>
              </w:rPr>
              <w:t xml:space="preserve">Paragraphs 18–19 of IAS 28 permit an entity to elect to measure an investment in an associate or a joint venture at fair value through profit or loss in accordance with IFRS 9 Financial Instruments if the investment is held by a venture capital organisation, or a mutual fund, unit trust and similar entities including investment-linked insurance funds. </w:t>
            </w:r>
          </w:p>
          <w:p w14:paraId="6B7DDF06" w14:textId="77777777" w:rsidR="009C05C3" w:rsidRDefault="009C05C3" w:rsidP="00B77EE7">
            <w:pPr>
              <w:spacing w:line="360" w:lineRule="auto"/>
              <w:jc w:val="both"/>
              <w:rPr>
                <w:sz w:val="28"/>
                <w:szCs w:val="28"/>
              </w:rPr>
            </w:pPr>
          </w:p>
          <w:p w14:paraId="2359A2B2" w14:textId="77777777" w:rsidR="009C05C3" w:rsidRDefault="009C05C3" w:rsidP="00B77EE7">
            <w:pPr>
              <w:spacing w:line="360" w:lineRule="auto"/>
              <w:jc w:val="both"/>
              <w:rPr>
                <w:sz w:val="28"/>
                <w:szCs w:val="28"/>
              </w:rPr>
            </w:pPr>
            <w:r w:rsidRPr="009C05C3">
              <w:rPr>
                <w:sz w:val="28"/>
                <w:szCs w:val="28"/>
              </w:rPr>
              <w:t xml:space="preserve">The IASB is proposing to amend paragraphs 18–19 of IAS 28 to clarify that similar entities include those that have a main business activity of investing in particular types of assets (as set out in paragraph 49(a) of IFRS 18). </w:t>
            </w:r>
          </w:p>
          <w:p w14:paraId="1CD0E64C" w14:textId="77777777" w:rsidR="009C05C3" w:rsidRDefault="009C05C3" w:rsidP="00B77EE7">
            <w:pPr>
              <w:spacing w:line="360" w:lineRule="auto"/>
              <w:jc w:val="both"/>
              <w:rPr>
                <w:sz w:val="28"/>
                <w:szCs w:val="28"/>
              </w:rPr>
            </w:pPr>
          </w:p>
          <w:p w14:paraId="33F9C3F8" w14:textId="40C33B90" w:rsidR="009C05C3" w:rsidRDefault="009C05C3" w:rsidP="00B77EE7">
            <w:pPr>
              <w:spacing w:line="360" w:lineRule="auto"/>
              <w:jc w:val="both"/>
              <w:rPr>
                <w:sz w:val="28"/>
                <w:szCs w:val="28"/>
              </w:rPr>
            </w:pPr>
            <w:r w:rsidRPr="009C05C3">
              <w:rPr>
                <w:sz w:val="28"/>
                <w:szCs w:val="28"/>
              </w:rPr>
              <w:t xml:space="preserve">Paragraphs BC1–BC19 of the Basis for Conclusions explain the IASB’s rationale for this proposal. In particular, paragraphs BC9–BC13 explain why the IASB decided not to propose extending the fair value option to all entities. </w:t>
            </w:r>
          </w:p>
          <w:p w14:paraId="15E82227" w14:textId="77777777" w:rsidR="009C05C3" w:rsidRDefault="009C05C3" w:rsidP="00B77EE7">
            <w:pPr>
              <w:spacing w:line="360" w:lineRule="auto"/>
              <w:jc w:val="both"/>
              <w:rPr>
                <w:sz w:val="28"/>
                <w:szCs w:val="28"/>
              </w:rPr>
            </w:pPr>
          </w:p>
          <w:p w14:paraId="46F2BDE1" w14:textId="77777777" w:rsidR="009C05C3" w:rsidRPr="00BD7947" w:rsidRDefault="009C05C3" w:rsidP="00B77EE7">
            <w:pPr>
              <w:spacing w:line="360" w:lineRule="auto"/>
              <w:jc w:val="both"/>
              <w:rPr>
                <w:b/>
                <w:bCs/>
                <w:sz w:val="28"/>
                <w:szCs w:val="28"/>
              </w:rPr>
            </w:pPr>
            <w:r w:rsidRPr="00BD7947">
              <w:rPr>
                <w:b/>
                <w:bCs/>
                <w:sz w:val="28"/>
                <w:szCs w:val="28"/>
              </w:rPr>
              <w:t>Do you agree with this proposal? Why or why not? If you disagree, please explain what you would suggest instead and why.</w:t>
            </w:r>
          </w:p>
          <w:p w14:paraId="530C01EB" w14:textId="77777777" w:rsidR="00BD7947" w:rsidRDefault="00BD7947" w:rsidP="00B77EE7">
            <w:pPr>
              <w:spacing w:line="360" w:lineRule="auto"/>
              <w:jc w:val="both"/>
              <w:rPr>
                <w:sz w:val="28"/>
                <w:szCs w:val="28"/>
              </w:rPr>
            </w:pPr>
          </w:p>
          <w:p w14:paraId="73D74C4A" w14:textId="77777777" w:rsidR="00B31713" w:rsidRDefault="00BD7947" w:rsidP="00B77EE7">
            <w:pPr>
              <w:spacing w:line="360" w:lineRule="auto"/>
              <w:jc w:val="both"/>
              <w:rPr>
                <w:rFonts w:ascii="Nirmala UI" w:hAnsi="Nirmala UI" w:cs="Nirmala UI"/>
                <w:b/>
                <w:bCs/>
                <w:color w:val="7030A0"/>
                <w:sz w:val="28"/>
                <w:szCs w:val="28"/>
              </w:rPr>
            </w:pPr>
            <w:r w:rsidRPr="00CE5425">
              <w:rPr>
                <w:rFonts w:ascii="Nirmala UI" w:hAnsi="Nirmala UI" w:cs="Nirmala UI"/>
                <w:b/>
                <w:bCs/>
                <w:color w:val="7030A0"/>
                <w:sz w:val="28"/>
                <w:szCs w:val="28"/>
              </w:rPr>
              <w:t xml:space="preserve">Reply: </w:t>
            </w:r>
          </w:p>
          <w:p w14:paraId="1D5EF2FC" w14:textId="77777777" w:rsidR="00B31713" w:rsidRDefault="00B31713" w:rsidP="00B77EE7">
            <w:pPr>
              <w:spacing w:line="360" w:lineRule="auto"/>
              <w:jc w:val="both"/>
              <w:rPr>
                <w:rFonts w:ascii="Nirmala UI" w:hAnsi="Nirmala UI" w:cs="Nirmala UI"/>
                <w:b/>
                <w:bCs/>
                <w:color w:val="7030A0"/>
                <w:sz w:val="28"/>
                <w:szCs w:val="28"/>
              </w:rPr>
            </w:pPr>
          </w:p>
          <w:p w14:paraId="4FB2001E" w14:textId="25969856" w:rsidR="002B527B" w:rsidRPr="00CE5425" w:rsidRDefault="00BD7947" w:rsidP="00B77EE7">
            <w:pPr>
              <w:spacing w:line="360" w:lineRule="auto"/>
              <w:jc w:val="both"/>
              <w:rPr>
                <w:rFonts w:ascii="Nirmala UI" w:hAnsi="Nirmala UI" w:cs="Nirmala UI"/>
                <w:b/>
                <w:bCs/>
                <w:color w:val="7030A0"/>
                <w:sz w:val="20"/>
                <w:szCs w:val="20"/>
                <w:shd w:val="clear" w:color="auto" w:fill="FFFFFF"/>
              </w:rPr>
            </w:pPr>
            <w:r w:rsidRPr="00CE5425">
              <w:rPr>
                <w:rFonts w:ascii="Nirmala UI" w:hAnsi="Nirmala UI" w:cs="Nirmala UI"/>
                <w:b/>
                <w:bCs/>
                <w:color w:val="7030A0"/>
                <w:sz w:val="28"/>
                <w:szCs w:val="28"/>
              </w:rPr>
              <w:t xml:space="preserve">SIRC of ICAI </w:t>
            </w:r>
            <w:r w:rsidRPr="00CE5425">
              <w:rPr>
                <w:rFonts w:ascii="Nirmala UI" w:hAnsi="Nirmala UI" w:cs="Nirmala UI"/>
                <w:b/>
                <w:bCs/>
                <w:color w:val="7030A0"/>
                <w:sz w:val="28"/>
                <w:szCs w:val="28"/>
              </w:rPr>
              <w:t>supports the proposed amendments to paragraphs 18 and 19 of IAS 28</w:t>
            </w:r>
            <w:r w:rsidRPr="00CE5425">
              <w:rPr>
                <w:rFonts w:ascii="Nirmala UI" w:hAnsi="Nirmala UI" w:cs="Nirmala UI"/>
                <w:b/>
                <w:bCs/>
                <w:color w:val="7030A0"/>
                <w:sz w:val="28"/>
                <w:szCs w:val="28"/>
              </w:rPr>
              <w:t>.</w:t>
            </w:r>
            <w:r w:rsidRPr="00CE5425">
              <w:rPr>
                <w:rFonts w:ascii="Nirmala UI" w:hAnsi="Nirmala UI" w:cs="Nirmala UI"/>
                <w:b/>
                <w:bCs/>
                <w:color w:val="7030A0"/>
                <w:sz w:val="28"/>
                <w:szCs w:val="28"/>
              </w:rPr>
              <w:t xml:space="preserve"> </w:t>
            </w:r>
            <w:r w:rsidRPr="00CE5425">
              <w:rPr>
                <w:rFonts w:ascii="Nirmala UI" w:hAnsi="Nirmala UI" w:cs="Nirmala UI"/>
                <w:b/>
                <w:bCs/>
                <w:color w:val="7030A0"/>
                <w:sz w:val="28"/>
                <w:szCs w:val="28"/>
              </w:rPr>
              <w:t xml:space="preserve"> The amendment considers </w:t>
            </w:r>
            <w:r w:rsidRPr="00CE5425">
              <w:rPr>
                <w:rFonts w:ascii="Nirmala UI" w:hAnsi="Nirmala UI" w:cs="Nirmala UI"/>
                <w:b/>
                <w:bCs/>
                <w:color w:val="7030A0"/>
                <w:sz w:val="28"/>
                <w:szCs w:val="28"/>
              </w:rPr>
              <w:t xml:space="preserve">the </w:t>
            </w:r>
            <w:r w:rsidRPr="00CE5425">
              <w:rPr>
                <w:rFonts w:ascii="Nirmala UI" w:hAnsi="Nirmala UI" w:cs="Nirmala UI"/>
                <w:b/>
                <w:bCs/>
                <w:color w:val="7030A0"/>
                <w:sz w:val="28"/>
                <w:szCs w:val="28"/>
              </w:rPr>
              <w:t>points raised</w:t>
            </w:r>
            <w:r w:rsidRPr="00CE5425">
              <w:rPr>
                <w:rFonts w:ascii="Nirmala UI" w:hAnsi="Nirmala UI" w:cs="Nirmala UI"/>
                <w:b/>
                <w:bCs/>
                <w:color w:val="7030A0"/>
                <w:sz w:val="28"/>
                <w:szCs w:val="28"/>
              </w:rPr>
              <w:t xml:space="preserve"> by </w:t>
            </w:r>
            <w:r w:rsidRPr="00CE5425">
              <w:rPr>
                <w:rFonts w:ascii="Nirmala UI" w:hAnsi="Nirmala UI" w:cs="Nirmala UI"/>
                <w:b/>
                <w:bCs/>
                <w:color w:val="7030A0"/>
                <w:sz w:val="28"/>
                <w:szCs w:val="28"/>
              </w:rPr>
              <w:t xml:space="preserve">Insurance companies </w:t>
            </w:r>
            <w:r w:rsidRPr="00CE5425">
              <w:rPr>
                <w:rFonts w:ascii="Nirmala UI" w:hAnsi="Nirmala UI" w:cs="Nirmala UI"/>
                <w:b/>
                <w:bCs/>
                <w:color w:val="7030A0"/>
                <w:sz w:val="28"/>
                <w:szCs w:val="28"/>
              </w:rPr>
              <w:t xml:space="preserve">about the diversity in interpretation of ‘similar entities’, which would arise when IFRS 18 Presentation and </w:t>
            </w:r>
            <w:r w:rsidRPr="00CE5425">
              <w:rPr>
                <w:rFonts w:ascii="Nirmala UI" w:hAnsi="Nirmala UI" w:cs="Nirmala UI"/>
                <w:b/>
                <w:bCs/>
                <w:color w:val="7030A0"/>
                <w:sz w:val="28"/>
                <w:szCs w:val="28"/>
              </w:rPr>
              <w:lastRenderedPageBreak/>
              <w:t>Disclosure in Financial Statements. Insur</w:t>
            </w:r>
            <w:r w:rsidRPr="00CE5425">
              <w:rPr>
                <w:rFonts w:ascii="Nirmala UI" w:hAnsi="Nirmala UI" w:cs="Nirmala UI"/>
                <w:b/>
                <w:bCs/>
                <w:color w:val="7030A0"/>
                <w:sz w:val="28"/>
                <w:szCs w:val="28"/>
              </w:rPr>
              <w:t>ance companies raised issues on</w:t>
            </w:r>
            <w:r w:rsidRPr="00CE5425">
              <w:rPr>
                <w:rFonts w:ascii="Nirmala UI" w:hAnsi="Nirmala UI" w:cs="Nirmala UI"/>
                <w:b/>
                <w:bCs/>
                <w:color w:val="7030A0"/>
                <w:sz w:val="28"/>
                <w:szCs w:val="28"/>
              </w:rPr>
              <w:t xml:space="preserve"> classif</w:t>
            </w:r>
            <w:r w:rsidRPr="00CE5425">
              <w:rPr>
                <w:rFonts w:ascii="Nirmala UI" w:hAnsi="Nirmala UI" w:cs="Nirmala UI"/>
                <w:b/>
                <w:bCs/>
                <w:color w:val="7030A0"/>
                <w:sz w:val="28"/>
                <w:szCs w:val="28"/>
              </w:rPr>
              <w:t>ication</w:t>
            </w:r>
            <w:r w:rsidRPr="00CE5425">
              <w:rPr>
                <w:rFonts w:ascii="Nirmala UI" w:hAnsi="Nirmala UI" w:cs="Nirmala UI"/>
                <w:b/>
                <w:bCs/>
                <w:color w:val="7030A0"/>
                <w:sz w:val="28"/>
                <w:szCs w:val="28"/>
              </w:rPr>
              <w:t xml:space="preserve"> in the investing category, income and expenses from investments in associates and joint ventures accounted for using the equity method that are linked to insurance contracts or held for prudential purposes to meet solvency requirements. </w:t>
            </w:r>
            <w:r w:rsidRPr="00CE5425">
              <w:rPr>
                <w:rFonts w:ascii="Nirmala UI" w:hAnsi="Nirmala UI" w:cs="Nirmala UI"/>
                <w:b/>
                <w:bCs/>
                <w:color w:val="7030A0"/>
                <w:sz w:val="28"/>
                <w:szCs w:val="28"/>
              </w:rPr>
              <w:t xml:space="preserve">Presently the Insurance companies </w:t>
            </w:r>
            <w:r w:rsidRPr="00CE5425">
              <w:rPr>
                <w:rFonts w:ascii="Nirmala UI" w:hAnsi="Nirmala UI" w:cs="Nirmala UI"/>
                <w:b/>
                <w:bCs/>
                <w:color w:val="7030A0"/>
                <w:sz w:val="28"/>
                <w:szCs w:val="28"/>
              </w:rPr>
              <w:t xml:space="preserve">classify such income and expenses in the operating category, </w:t>
            </w:r>
            <w:r w:rsidRPr="00CE5425">
              <w:rPr>
                <w:rFonts w:ascii="Nirmala UI" w:hAnsi="Nirmala UI" w:cs="Nirmala UI"/>
                <w:b/>
                <w:bCs/>
                <w:color w:val="7030A0"/>
                <w:sz w:val="28"/>
                <w:szCs w:val="28"/>
              </w:rPr>
              <w:t>since</w:t>
            </w:r>
            <w:r w:rsidRPr="00CE5425">
              <w:rPr>
                <w:rFonts w:ascii="Nirmala UI" w:hAnsi="Nirmala UI" w:cs="Nirmala UI"/>
                <w:b/>
                <w:bCs/>
                <w:color w:val="7030A0"/>
                <w:sz w:val="28"/>
                <w:szCs w:val="28"/>
              </w:rPr>
              <w:t xml:space="preserve"> those income and expenses are</w:t>
            </w:r>
            <w:r w:rsidRPr="00CE5425">
              <w:rPr>
                <w:rFonts w:ascii="Nirmala UI" w:hAnsi="Nirmala UI" w:cs="Nirmala UI"/>
                <w:b/>
                <w:bCs/>
                <w:color w:val="7030A0"/>
                <w:sz w:val="28"/>
                <w:szCs w:val="28"/>
              </w:rPr>
              <w:t xml:space="preserve"> </w:t>
            </w:r>
            <w:r w:rsidRPr="00CE5425">
              <w:rPr>
                <w:rFonts w:ascii="Nirmala UI" w:hAnsi="Nirmala UI" w:cs="Nirmala UI"/>
                <w:b/>
                <w:bCs/>
                <w:color w:val="7030A0"/>
                <w:sz w:val="28"/>
                <w:szCs w:val="28"/>
              </w:rPr>
              <w:t>part of ‘net financial result’ which is an important indicator of operating performance</w:t>
            </w:r>
            <w:r w:rsidRPr="00CE5425">
              <w:rPr>
                <w:rFonts w:ascii="Nirmala UI" w:hAnsi="Nirmala UI" w:cs="Nirmala UI"/>
                <w:b/>
                <w:bCs/>
                <w:color w:val="7030A0"/>
                <w:sz w:val="28"/>
                <w:szCs w:val="28"/>
              </w:rPr>
              <w:t xml:space="preserve"> of insurance companies</w:t>
            </w:r>
            <w:r w:rsidRPr="00CE5425">
              <w:rPr>
                <w:rFonts w:ascii="Nirmala UI" w:hAnsi="Nirmala UI" w:cs="Nirmala UI"/>
                <w:b/>
                <w:bCs/>
                <w:color w:val="7030A0"/>
                <w:sz w:val="28"/>
                <w:szCs w:val="28"/>
              </w:rPr>
              <w:t>.</w:t>
            </w:r>
            <w:r w:rsidR="002B527B" w:rsidRPr="00CE5425">
              <w:rPr>
                <w:rFonts w:ascii="Nirmala UI" w:hAnsi="Nirmala UI" w:cs="Nirmala UI"/>
                <w:b/>
                <w:bCs/>
                <w:color w:val="7030A0"/>
                <w:sz w:val="20"/>
                <w:szCs w:val="20"/>
                <w:shd w:val="clear" w:color="auto" w:fill="FFFFFF"/>
              </w:rPr>
              <w:t xml:space="preserve"> </w:t>
            </w:r>
          </w:p>
          <w:p w14:paraId="04055145" w14:textId="77777777" w:rsidR="002B527B" w:rsidRPr="00CE5425" w:rsidRDefault="002B527B" w:rsidP="00B77EE7">
            <w:pPr>
              <w:spacing w:line="360" w:lineRule="auto"/>
              <w:jc w:val="both"/>
              <w:rPr>
                <w:rFonts w:ascii="Nirmala UI" w:hAnsi="Nirmala UI" w:cs="Nirmala UI"/>
                <w:b/>
                <w:bCs/>
                <w:color w:val="7030A0"/>
                <w:sz w:val="20"/>
                <w:szCs w:val="20"/>
                <w:shd w:val="clear" w:color="auto" w:fill="FFFFFF"/>
              </w:rPr>
            </w:pPr>
          </w:p>
          <w:p w14:paraId="6337D2AE" w14:textId="77777777" w:rsidR="00BD7947" w:rsidRDefault="002B527B" w:rsidP="00B77EE7">
            <w:pPr>
              <w:spacing w:line="360" w:lineRule="auto"/>
              <w:jc w:val="both"/>
              <w:rPr>
                <w:rFonts w:ascii="Nirmala UI" w:hAnsi="Nirmala UI" w:cs="Nirmala UI"/>
                <w:b/>
                <w:bCs/>
                <w:color w:val="7030A0"/>
                <w:sz w:val="28"/>
                <w:szCs w:val="28"/>
              </w:rPr>
            </w:pPr>
            <w:r w:rsidRPr="00B31713">
              <w:rPr>
                <w:rFonts w:ascii="Nirmala UI" w:hAnsi="Nirmala UI" w:cs="Nirmala UI"/>
                <w:b/>
                <w:bCs/>
                <w:color w:val="7030A0"/>
                <w:sz w:val="28"/>
                <w:szCs w:val="28"/>
                <w:shd w:val="clear" w:color="auto" w:fill="FFFFFF"/>
              </w:rPr>
              <w:t>Further,</w:t>
            </w:r>
            <w:r w:rsidRPr="00CE5425">
              <w:rPr>
                <w:rFonts w:ascii="Nirmala UI" w:hAnsi="Nirmala UI" w:cs="Nirmala UI"/>
                <w:b/>
                <w:bCs/>
                <w:color w:val="7030A0"/>
                <w:sz w:val="20"/>
                <w:szCs w:val="20"/>
                <w:shd w:val="clear" w:color="auto" w:fill="FFFFFF"/>
              </w:rPr>
              <w:t xml:space="preserve"> </w:t>
            </w:r>
            <w:r w:rsidRPr="00CE5425">
              <w:rPr>
                <w:rFonts w:ascii="Nirmala UI" w:hAnsi="Nirmala UI" w:cs="Nirmala UI"/>
                <w:b/>
                <w:bCs/>
                <w:color w:val="7030A0"/>
                <w:sz w:val="28"/>
                <w:szCs w:val="28"/>
              </w:rPr>
              <w:t>the equity method of accounting is an outdated mechanism, belonging to a long-gone age when the use and availability of fair value was far less advanced than it is now</w:t>
            </w:r>
            <w:r w:rsidRPr="00CE5425">
              <w:rPr>
                <w:rFonts w:ascii="Nirmala UI" w:hAnsi="Nirmala UI" w:cs="Nirmala UI"/>
                <w:b/>
                <w:bCs/>
                <w:color w:val="7030A0"/>
                <w:sz w:val="28"/>
                <w:szCs w:val="28"/>
              </w:rPr>
              <w:t>.</w:t>
            </w:r>
            <w:r w:rsidRPr="00CE5425">
              <w:rPr>
                <w:rFonts w:ascii="Nirmala UI" w:hAnsi="Nirmala UI" w:cs="Nirmala UI"/>
                <w:b/>
                <w:bCs/>
                <w:color w:val="7030A0"/>
                <w:sz w:val="28"/>
                <w:szCs w:val="28"/>
              </w:rPr>
              <w:t xml:space="preserve"> </w:t>
            </w:r>
          </w:p>
          <w:p w14:paraId="64B66025" w14:textId="77777777" w:rsidR="00B31713" w:rsidRDefault="00B31713" w:rsidP="00B77EE7">
            <w:pPr>
              <w:spacing w:line="360" w:lineRule="auto"/>
              <w:jc w:val="both"/>
              <w:rPr>
                <w:rFonts w:ascii="Nirmala UI" w:hAnsi="Nirmala UI" w:cs="Nirmala UI"/>
                <w:b/>
                <w:bCs/>
                <w:color w:val="7030A0"/>
                <w:sz w:val="28"/>
                <w:szCs w:val="28"/>
              </w:rPr>
            </w:pPr>
          </w:p>
          <w:p w14:paraId="09F26569" w14:textId="66C060D3" w:rsidR="00B31713" w:rsidRPr="00B31713" w:rsidRDefault="00B31713" w:rsidP="00B31713">
            <w:pPr>
              <w:spacing w:line="360" w:lineRule="auto"/>
              <w:jc w:val="both"/>
              <w:rPr>
                <w:rFonts w:ascii="Nirmala UI" w:hAnsi="Nirmala UI" w:cs="Nirmala UI"/>
                <w:b/>
                <w:bCs/>
                <w:color w:val="7030A0"/>
                <w:sz w:val="28"/>
                <w:szCs w:val="28"/>
              </w:rPr>
            </w:pPr>
            <w:r w:rsidRPr="00B31713">
              <w:rPr>
                <w:rFonts w:ascii="Nirmala UI" w:hAnsi="Nirmala UI" w:cs="Nirmala UI"/>
                <w:b/>
                <w:bCs/>
                <w:color w:val="7030A0"/>
                <w:sz w:val="28"/>
                <w:szCs w:val="28"/>
              </w:rPr>
              <w:t>The fair value option is available under IAS 28 when an investment is held by “an entity that is a venture capital organisation, or a mutual fund, unit trust and similar entities including investment-linked insurance funds.”  The IASB has identified diversity in how companies assess whether an investment is held by a company meeting this description. Some stakeholders interpret the fair value option narrowly — e.g. limiting it to investments held by or through investment-linked insurance funds. Others interpret it more broadly — e.g. applying it to all investments related to insurance contracts.</w:t>
            </w:r>
          </w:p>
          <w:p w14:paraId="0722C6CF" w14:textId="6A0CBC6E" w:rsidR="00B31713" w:rsidRPr="00CE5425" w:rsidRDefault="00B31713" w:rsidP="00B77EE7">
            <w:pPr>
              <w:spacing w:line="360" w:lineRule="auto"/>
              <w:jc w:val="both"/>
              <w:rPr>
                <w:rFonts w:ascii="Nirmala UI" w:hAnsi="Nirmala UI" w:cs="Nirmala UI"/>
                <w:b/>
                <w:bCs/>
                <w:color w:val="7030A0"/>
                <w:sz w:val="28"/>
                <w:szCs w:val="28"/>
              </w:rPr>
            </w:pPr>
            <w:bookmarkStart w:id="0" w:name="_Hlk220401074"/>
            <w:bookmarkEnd w:id="0"/>
            <w:r w:rsidRPr="00B31713">
              <w:rPr>
                <w:rFonts w:ascii="Nirmala UI" w:hAnsi="Nirmala UI" w:cs="Nirmala UI"/>
                <w:b/>
                <w:bCs/>
                <w:color w:val="7030A0"/>
                <w:sz w:val="28"/>
                <w:szCs w:val="28"/>
              </w:rPr>
              <w:t xml:space="preserve">This diversity drives different accounting outcomes and may result in presentation mismatches under IFRS 18. For investments </w:t>
            </w:r>
            <w:r w:rsidRPr="00B31713">
              <w:rPr>
                <w:rFonts w:ascii="Nirmala UI" w:hAnsi="Nirmala UI" w:cs="Nirmala UI"/>
                <w:b/>
                <w:bCs/>
                <w:color w:val="7030A0"/>
                <w:sz w:val="28"/>
                <w:szCs w:val="28"/>
              </w:rPr>
              <w:lastRenderedPageBreak/>
              <w:t xml:space="preserve">accounted for under the equity method, IFRS 18 requires income and expenses from the investments to be classified in the investing category of the income statement, even if they arise from the company’s main business activities. Conversely, for investments measured at fair value, income and expenses from the investments are classified in the operating category – if a company invests in them as a main business activity. </w:t>
            </w:r>
          </w:p>
          <w:p w14:paraId="0FBF4007" w14:textId="77777777" w:rsidR="002B527B" w:rsidRPr="00CE5425" w:rsidRDefault="002B527B" w:rsidP="00B77EE7">
            <w:pPr>
              <w:spacing w:line="360" w:lineRule="auto"/>
              <w:jc w:val="both"/>
              <w:rPr>
                <w:rFonts w:ascii="Nirmala UI" w:hAnsi="Nirmala UI" w:cs="Nirmala UI"/>
                <w:b/>
                <w:bCs/>
                <w:color w:val="7030A0"/>
                <w:sz w:val="28"/>
                <w:szCs w:val="28"/>
              </w:rPr>
            </w:pPr>
          </w:p>
          <w:p w14:paraId="04819BDE" w14:textId="77777777" w:rsidR="002B527B" w:rsidRDefault="002B527B" w:rsidP="00B77EE7">
            <w:pPr>
              <w:spacing w:line="360" w:lineRule="auto"/>
              <w:jc w:val="both"/>
              <w:rPr>
                <w:rFonts w:ascii="Nirmala UI" w:hAnsi="Nirmala UI" w:cs="Nirmala UI"/>
                <w:b/>
                <w:bCs/>
                <w:color w:val="7030A0"/>
                <w:sz w:val="28"/>
                <w:szCs w:val="28"/>
              </w:rPr>
            </w:pPr>
            <w:r w:rsidRPr="00CE5425">
              <w:rPr>
                <w:rFonts w:ascii="Nirmala UI" w:hAnsi="Nirmala UI" w:cs="Nirmala UI"/>
                <w:b/>
                <w:bCs/>
                <w:color w:val="7030A0"/>
                <w:sz w:val="28"/>
                <w:szCs w:val="28"/>
              </w:rPr>
              <w:t xml:space="preserve">The </w:t>
            </w:r>
            <w:r w:rsidRPr="00CE5425">
              <w:rPr>
                <w:rFonts w:ascii="Nirmala UI" w:hAnsi="Nirmala UI" w:cs="Nirmala UI"/>
                <w:b/>
                <w:bCs/>
                <w:color w:val="7030A0"/>
                <w:sz w:val="28"/>
                <w:szCs w:val="28"/>
              </w:rPr>
              <w:t xml:space="preserve">proposed amendment aims </w:t>
            </w:r>
            <w:r w:rsidRPr="00CE5425">
              <w:rPr>
                <w:rFonts w:ascii="Nirmala UI" w:hAnsi="Nirmala UI" w:cs="Nirmala UI"/>
                <w:b/>
                <w:bCs/>
                <w:color w:val="7030A0"/>
                <w:sz w:val="28"/>
                <w:szCs w:val="28"/>
              </w:rPr>
              <w:t>to clarify eligibility for applying the fair value option in IAS 28 by explicitly linking the notion of “similar entities” to IFRS 18’s description of entities with a main business activity of investing in particular types of assets. Entities with a main business activity of investing in particular types of assets may wish to change their election for measuring an investment in an associate or joint venture from the equity method to fair value through profit or loss in accordance with IFRS 9 on transition to IFRS 18. The decision will impact not only the measurement of the investments but will have presentation consequences under IFRS 18.</w:t>
            </w:r>
          </w:p>
          <w:p w14:paraId="33CF8E97" w14:textId="77777777" w:rsidR="00DA5706" w:rsidRDefault="00DA5706" w:rsidP="00B77EE7">
            <w:pPr>
              <w:spacing w:line="360" w:lineRule="auto"/>
              <w:jc w:val="both"/>
              <w:rPr>
                <w:rFonts w:ascii="Nirmala UI" w:hAnsi="Nirmala UI" w:cs="Nirmala UI"/>
                <w:b/>
                <w:bCs/>
                <w:color w:val="7030A0"/>
                <w:sz w:val="28"/>
                <w:szCs w:val="28"/>
              </w:rPr>
            </w:pPr>
          </w:p>
          <w:p w14:paraId="14FC44F9" w14:textId="0E231BFB" w:rsidR="00DA5706" w:rsidRDefault="00DA5706" w:rsidP="00B77EE7">
            <w:pPr>
              <w:spacing w:line="360" w:lineRule="auto"/>
              <w:jc w:val="both"/>
              <w:rPr>
                <w:rFonts w:ascii="Nirmala UI" w:hAnsi="Nirmala UI" w:cs="Nirmala UI"/>
                <w:b/>
                <w:bCs/>
                <w:color w:val="7030A0"/>
                <w:sz w:val="28"/>
                <w:szCs w:val="28"/>
              </w:rPr>
            </w:pPr>
            <w:r>
              <w:rPr>
                <w:rFonts w:ascii="Nirmala UI" w:hAnsi="Nirmala UI" w:cs="Nirmala UI"/>
                <w:b/>
                <w:bCs/>
                <w:color w:val="7030A0"/>
                <w:sz w:val="28"/>
                <w:szCs w:val="28"/>
              </w:rPr>
              <w:t>It is underlined that f</w:t>
            </w:r>
            <w:r w:rsidRPr="00DA5706">
              <w:rPr>
                <w:rFonts w:ascii="Nirmala UI" w:hAnsi="Nirmala UI" w:cs="Nirmala UI"/>
                <w:b/>
                <w:bCs/>
                <w:color w:val="7030A0"/>
                <w:sz w:val="28"/>
                <w:szCs w:val="28"/>
              </w:rPr>
              <w:t>rom a technical accounting perspective, the amendments aim to resolve ambiguity regarding which specified entities qualify for the fair value option under paragraph 18 of IAS 28. The clarification is expected to enhance consistency in how income and expenses are presented in profit or loss under IFRS 18.</w:t>
            </w:r>
          </w:p>
          <w:p w14:paraId="6313EAC9" w14:textId="00BC474C" w:rsidR="00DA5706" w:rsidRDefault="00DA5706" w:rsidP="00B77EE7">
            <w:pPr>
              <w:spacing w:line="360" w:lineRule="auto"/>
              <w:jc w:val="both"/>
              <w:rPr>
                <w:rFonts w:ascii="Nirmala UI" w:hAnsi="Nirmala UI" w:cs="Nirmala UI"/>
                <w:b/>
                <w:bCs/>
                <w:color w:val="7030A0"/>
                <w:sz w:val="28"/>
                <w:szCs w:val="28"/>
              </w:rPr>
            </w:pPr>
            <w:r w:rsidRPr="00DA5706">
              <w:rPr>
                <w:rFonts w:ascii="Nirmala UI" w:hAnsi="Nirmala UI" w:cs="Nirmala UI"/>
                <w:b/>
                <w:bCs/>
                <w:color w:val="7030A0"/>
                <w:sz w:val="28"/>
                <w:szCs w:val="28"/>
              </w:rPr>
              <w:lastRenderedPageBreak/>
              <w:t xml:space="preserve">For </w:t>
            </w:r>
            <w:r>
              <w:rPr>
                <w:rFonts w:ascii="Nirmala UI" w:hAnsi="Nirmala UI" w:cs="Nirmala UI"/>
                <w:b/>
                <w:bCs/>
                <w:color w:val="7030A0"/>
                <w:sz w:val="28"/>
                <w:szCs w:val="28"/>
              </w:rPr>
              <w:t xml:space="preserve">Professional </w:t>
            </w:r>
            <w:r w:rsidRPr="00DA5706">
              <w:rPr>
                <w:rFonts w:ascii="Nirmala UI" w:hAnsi="Nirmala UI" w:cs="Nirmala UI"/>
                <w:b/>
                <w:bCs/>
                <w:color w:val="7030A0"/>
                <w:sz w:val="28"/>
                <w:szCs w:val="28"/>
              </w:rPr>
              <w:t>Accountants, the narrow scope suggests limited implementation burden, though entities currently applying or considering the fair value option should monitor developments closely. The accelerated timeline means affected entities may need to assess potential impacts on their IFRS 18 implementation plans earlier than typical amendment cycles would allow.</w:t>
            </w:r>
          </w:p>
          <w:p w14:paraId="2A5C3898" w14:textId="77777777" w:rsidR="00F20D96" w:rsidRDefault="00F20D96" w:rsidP="00B77EE7">
            <w:pPr>
              <w:spacing w:line="360" w:lineRule="auto"/>
              <w:jc w:val="both"/>
              <w:rPr>
                <w:rFonts w:ascii="Nirmala UI" w:hAnsi="Nirmala UI" w:cs="Nirmala UI"/>
                <w:b/>
                <w:bCs/>
                <w:color w:val="7030A0"/>
                <w:sz w:val="28"/>
                <w:szCs w:val="28"/>
              </w:rPr>
            </w:pPr>
          </w:p>
          <w:p w14:paraId="1C833CFB" w14:textId="452C1970" w:rsidR="00F20D96" w:rsidRPr="009C05C3" w:rsidRDefault="00F20D96" w:rsidP="00B77EE7">
            <w:pPr>
              <w:spacing w:line="360" w:lineRule="auto"/>
              <w:jc w:val="both"/>
              <w:rPr>
                <w:sz w:val="28"/>
                <w:szCs w:val="28"/>
              </w:rPr>
            </w:pPr>
            <w:r>
              <w:rPr>
                <w:rFonts w:ascii="Nirmala UI" w:hAnsi="Nirmala UI" w:cs="Nirmala UI"/>
                <w:b/>
                <w:bCs/>
                <w:color w:val="7030A0"/>
                <w:sz w:val="28"/>
                <w:szCs w:val="28"/>
              </w:rPr>
              <w:t xml:space="preserve">However, we would like to point out that </w:t>
            </w:r>
            <w:r w:rsidRPr="00F20D96">
              <w:rPr>
                <w:rFonts w:ascii="Nirmala UI" w:hAnsi="Nirmala UI" w:cs="Nirmala UI"/>
                <w:b/>
                <w:bCs/>
                <w:color w:val="7030A0"/>
                <w:sz w:val="28"/>
                <w:szCs w:val="28"/>
              </w:rPr>
              <w:t>it would be better to rationalise the articulation of the scope of the option in paragraph 18 of IAS 28 Investments in Associates and Joint Ventures to make it concise and principles-based as to a defined activity.</w:t>
            </w:r>
            <w:r>
              <w:rPr>
                <w:rFonts w:ascii="Nirmala UI" w:hAnsi="Nirmala UI" w:cs="Nirmala UI"/>
                <w:b/>
                <w:bCs/>
                <w:color w:val="7030A0"/>
                <w:sz w:val="28"/>
                <w:szCs w:val="28"/>
              </w:rPr>
              <w:t xml:space="preserve"> The sentence may have better clarity if it puts that- “W</w:t>
            </w:r>
            <w:r w:rsidRPr="00F20D96">
              <w:rPr>
                <w:rFonts w:ascii="Nirmala UI" w:hAnsi="Nirmala UI" w:cs="Nirmala UI"/>
                <w:b/>
                <w:bCs/>
                <w:color w:val="7030A0"/>
                <w:sz w:val="28"/>
                <w:szCs w:val="28"/>
              </w:rPr>
              <w:t>hen an investment in an associate or a joint venture is held by, or is held indirectly through, an entity that has a main business activity of investing in particular types of assets</w:t>
            </w:r>
            <w:r>
              <w:rPr>
                <w:rFonts w:ascii="Nirmala UI" w:hAnsi="Nirmala UI" w:cs="Nirmala UI"/>
                <w:b/>
                <w:bCs/>
                <w:color w:val="7030A0"/>
                <w:sz w:val="28"/>
                <w:szCs w:val="28"/>
              </w:rPr>
              <w:t xml:space="preserve"> </w:t>
            </w:r>
            <w:r w:rsidRPr="00F20D96">
              <w:rPr>
                <w:rFonts w:ascii="Nirmala UI" w:hAnsi="Nirmala UI" w:cs="Nirmala UI"/>
                <w:b/>
                <w:bCs/>
                <w:color w:val="7030A0"/>
                <w:sz w:val="28"/>
                <w:szCs w:val="28"/>
              </w:rPr>
              <w:t>the entity may elect to measure that investment at fair value through profit or loss in accordance with IFRS 9.</w:t>
            </w:r>
            <w:r>
              <w:rPr>
                <w:rFonts w:ascii="Nirmala UI" w:hAnsi="Nirmala UI" w:cs="Nirmala UI"/>
                <w:b/>
                <w:bCs/>
                <w:color w:val="7030A0"/>
                <w:sz w:val="28"/>
                <w:szCs w:val="28"/>
              </w:rPr>
              <w:t>”</w:t>
            </w:r>
          </w:p>
        </w:tc>
      </w:tr>
    </w:tbl>
    <w:p w14:paraId="3C009CB2" w14:textId="77777777" w:rsidR="009C05C3" w:rsidRDefault="009C05C3" w:rsidP="009C05C3">
      <w:pPr>
        <w:spacing w:after="0" w:line="360" w:lineRule="auto"/>
        <w:jc w:val="both"/>
        <w:rPr>
          <w:sz w:val="28"/>
          <w:szCs w:val="28"/>
        </w:rPr>
      </w:pPr>
    </w:p>
    <w:tbl>
      <w:tblPr>
        <w:tblStyle w:val="TableGrid"/>
        <w:tblW w:w="0" w:type="auto"/>
        <w:tblLook w:val="04A0" w:firstRow="1" w:lastRow="0" w:firstColumn="1" w:lastColumn="0" w:noHBand="0" w:noVBand="1"/>
      </w:tblPr>
      <w:tblGrid>
        <w:gridCol w:w="9016"/>
      </w:tblGrid>
      <w:tr w:rsidR="00CE5425" w14:paraId="0BB8AC25" w14:textId="77777777" w:rsidTr="00CE5425">
        <w:tc>
          <w:tcPr>
            <w:tcW w:w="9016" w:type="dxa"/>
          </w:tcPr>
          <w:p w14:paraId="34E7863C" w14:textId="77777777" w:rsidR="00CE5425" w:rsidRPr="00CE5425" w:rsidRDefault="00CE5425" w:rsidP="00CE5425">
            <w:pPr>
              <w:rPr>
                <w:b/>
                <w:bCs/>
                <w:sz w:val="28"/>
                <w:szCs w:val="28"/>
              </w:rPr>
            </w:pPr>
            <w:r w:rsidRPr="00CE5425">
              <w:rPr>
                <w:b/>
                <w:bCs/>
                <w:sz w:val="28"/>
                <w:szCs w:val="28"/>
              </w:rPr>
              <w:t>Question 2—Effective date and transition</w:t>
            </w:r>
          </w:p>
          <w:p w14:paraId="21419510" w14:textId="78C35135" w:rsidR="00CE5425" w:rsidRPr="00CE5425" w:rsidRDefault="00CE5425" w:rsidP="00B31713">
            <w:pPr>
              <w:jc w:val="both"/>
              <w:rPr>
                <w:sz w:val="28"/>
                <w:szCs w:val="28"/>
              </w:rPr>
            </w:pPr>
            <w:r w:rsidRPr="00CE5425">
              <w:rPr>
                <w:sz w:val="28"/>
                <w:szCs w:val="28"/>
              </w:rPr>
              <w:t>The IASB proposes that an entity apply the amendments to paragraphs 18–19 of IAS 28</w:t>
            </w:r>
            <w:r>
              <w:rPr>
                <w:sz w:val="28"/>
                <w:szCs w:val="28"/>
              </w:rPr>
              <w:t xml:space="preserve"> </w:t>
            </w:r>
            <w:r w:rsidRPr="00CE5425">
              <w:rPr>
                <w:sz w:val="28"/>
                <w:szCs w:val="28"/>
              </w:rPr>
              <w:t>at the same time and on the same basis as it applies IFRS 18.</w:t>
            </w:r>
          </w:p>
          <w:p w14:paraId="616CA7AC" w14:textId="00A4A076" w:rsidR="00CE5425" w:rsidRPr="00CE5425" w:rsidRDefault="00CE5425" w:rsidP="00B31713">
            <w:pPr>
              <w:jc w:val="both"/>
              <w:rPr>
                <w:sz w:val="28"/>
                <w:szCs w:val="28"/>
              </w:rPr>
            </w:pPr>
            <w:r w:rsidRPr="00CE5425">
              <w:rPr>
                <w:sz w:val="28"/>
                <w:szCs w:val="28"/>
              </w:rPr>
              <w:t>Paragraphs BC20–BC21 of the Basis for Conclusions explain the IASB’s rationale for this</w:t>
            </w:r>
            <w:r>
              <w:rPr>
                <w:sz w:val="28"/>
                <w:szCs w:val="28"/>
              </w:rPr>
              <w:t xml:space="preserve"> </w:t>
            </w:r>
            <w:r w:rsidRPr="00CE5425">
              <w:rPr>
                <w:sz w:val="28"/>
                <w:szCs w:val="28"/>
              </w:rPr>
              <w:t>proposal.</w:t>
            </w:r>
          </w:p>
          <w:p w14:paraId="7F59DB91" w14:textId="77777777" w:rsidR="00CE5425" w:rsidRDefault="00CE5425" w:rsidP="00B31713">
            <w:pPr>
              <w:jc w:val="both"/>
              <w:rPr>
                <w:sz w:val="28"/>
                <w:szCs w:val="28"/>
              </w:rPr>
            </w:pPr>
            <w:r w:rsidRPr="00CE5425">
              <w:rPr>
                <w:sz w:val="28"/>
                <w:szCs w:val="28"/>
              </w:rPr>
              <w:t>Do you agree with this proposal? Why or why not? If you disagree, please explain what</w:t>
            </w:r>
            <w:r>
              <w:rPr>
                <w:sz w:val="28"/>
                <w:szCs w:val="28"/>
              </w:rPr>
              <w:t xml:space="preserve"> </w:t>
            </w:r>
            <w:r w:rsidRPr="00CE5425">
              <w:rPr>
                <w:sz w:val="28"/>
                <w:szCs w:val="28"/>
              </w:rPr>
              <w:t>you would suggest instead and why.</w:t>
            </w:r>
          </w:p>
          <w:p w14:paraId="54F50D51" w14:textId="77777777" w:rsidR="00CE5425" w:rsidRDefault="00CE5425" w:rsidP="00CE5425">
            <w:pPr>
              <w:rPr>
                <w:sz w:val="28"/>
                <w:szCs w:val="28"/>
              </w:rPr>
            </w:pPr>
          </w:p>
          <w:p w14:paraId="41874141" w14:textId="77777777" w:rsidR="00B31713" w:rsidRDefault="00B31713" w:rsidP="00CE5425">
            <w:pPr>
              <w:jc w:val="both"/>
              <w:rPr>
                <w:b/>
                <w:bCs/>
                <w:color w:val="7030A0"/>
                <w:sz w:val="28"/>
                <w:szCs w:val="28"/>
              </w:rPr>
            </w:pPr>
          </w:p>
          <w:p w14:paraId="5207F56C" w14:textId="05A5B7C2" w:rsidR="00CE5425" w:rsidRPr="00CE5425" w:rsidRDefault="00CE5425" w:rsidP="00CE5425">
            <w:pPr>
              <w:jc w:val="both"/>
              <w:rPr>
                <w:b/>
                <w:bCs/>
                <w:color w:val="7030A0"/>
                <w:sz w:val="28"/>
                <w:szCs w:val="28"/>
              </w:rPr>
            </w:pPr>
            <w:r w:rsidRPr="00CE5425">
              <w:rPr>
                <w:b/>
                <w:bCs/>
                <w:color w:val="7030A0"/>
                <w:sz w:val="28"/>
                <w:szCs w:val="28"/>
              </w:rPr>
              <w:t xml:space="preserve">Reply: </w:t>
            </w:r>
          </w:p>
          <w:p w14:paraId="593A33BE" w14:textId="77777777" w:rsidR="00CE5425" w:rsidRPr="00CE5425" w:rsidRDefault="00CE5425" w:rsidP="00CE5425">
            <w:pPr>
              <w:jc w:val="both"/>
              <w:rPr>
                <w:b/>
                <w:bCs/>
                <w:color w:val="7030A0"/>
                <w:sz w:val="28"/>
                <w:szCs w:val="28"/>
              </w:rPr>
            </w:pPr>
          </w:p>
          <w:p w14:paraId="39BC2D77" w14:textId="77777777" w:rsidR="00CE5425" w:rsidRPr="00CE5425" w:rsidRDefault="00CE5425" w:rsidP="00CE5425">
            <w:pPr>
              <w:spacing w:line="360" w:lineRule="auto"/>
              <w:jc w:val="both"/>
              <w:rPr>
                <w:rFonts w:ascii="Nirmala UI" w:hAnsi="Nirmala UI" w:cs="Nirmala UI"/>
                <w:b/>
                <w:bCs/>
                <w:color w:val="7030A0"/>
                <w:sz w:val="28"/>
                <w:szCs w:val="28"/>
              </w:rPr>
            </w:pPr>
            <w:r w:rsidRPr="00CE5425">
              <w:rPr>
                <w:rFonts w:ascii="Nirmala UI" w:hAnsi="Nirmala UI" w:cs="Nirmala UI"/>
                <w:b/>
                <w:bCs/>
                <w:color w:val="7030A0"/>
                <w:sz w:val="28"/>
                <w:szCs w:val="28"/>
              </w:rPr>
              <w:lastRenderedPageBreak/>
              <w:t>In accordance with paragraph C7 of IFRS 18, an entity may, on initial application of that Standard, elect to measure investments in associates and joint ventures using the fair value option in IAS 28. The IASB concluded, therefore, that any amendments to the fair value</w:t>
            </w:r>
            <w:r w:rsidRPr="00CE5425">
              <w:rPr>
                <w:rFonts w:ascii="Nirmala UI" w:hAnsi="Nirmala UI" w:cs="Nirmala UI"/>
                <w:b/>
                <w:bCs/>
                <w:color w:val="7030A0"/>
                <w:sz w:val="28"/>
                <w:szCs w:val="28"/>
              </w:rPr>
              <w:t xml:space="preserve"> </w:t>
            </w:r>
            <w:r w:rsidRPr="00CE5425">
              <w:rPr>
                <w:rFonts w:ascii="Nirmala UI" w:hAnsi="Nirmala UI" w:cs="Nirmala UI"/>
                <w:b/>
                <w:bCs/>
                <w:color w:val="7030A0"/>
                <w:sz w:val="28"/>
                <w:szCs w:val="28"/>
              </w:rPr>
              <w:t xml:space="preserve">option in IAS 28 would need to be effective on or before the effective date of IFRS 18 to enable entities to benefit from those amendments. </w:t>
            </w:r>
          </w:p>
          <w:p w14:paraId="564A41AE" w14:textId="77777777" w:rsidR="00CE5425" w:rsidRPr="00CE5425" w:rsidRDefault="00CE5425" w:rsidP="00CE5425">
            <w:pPr>
              <w:spacing w:line="360" w:lineRule="auto"/>
              <w:jc w:val="both"/>
              <w:rPr>
                <w:rFonts w:ascii="Nirmala UI" w:hAnsi="Nirmala UI" w:cs="Nirmala UI"/>
                <w:b/>
                <w:bCs/>
                <w:color w:val="7030A0"/>
                <w:sz w:val="28"/>
                <w:szCs w:val="28"/>
              </w:rPr>
            </w:pPr>
          </w:p>
          <w:p w14:paraId="33F5CC66" w14:textId="77777777" w:rsidR="00CE5425" w:rsidRPr="00CE5425" w:rsidRDefault="00CE5425" w:rsidP="00CE5425">
            <w:pPr>
              <w:spacing w:line="360" w:lineRule="auto"/>
              <w:jc w:val="both"/>
              <w:rPr>
                <w:rFonts w:ascii="Nirmala UI" w:hAnsi="Nirmala UI" w:cs="Nirmala UI"/>
                <w:b/>
                <w:bCs/>
                <w:color w:val="7030A0"/>
                <w:sz w:val="28"/>
                <w:szCs w:val="28"/>
              </w:rPr>
            </w:pPr>
            <w:r w:rsidRPr="00CE5425">
              <w:rPr>
                <w:rFonts w:ascii="Nirmala UI" w:hAnsi="Nirmala UI" w:cs="Nirmala UI"/>
                <w:b/>
                <w:bCs/>
                <w:color w:val="7030A0"/>
                <w:sz w:val="28"/>
                <w:szCs w:val="28"/>
              </w:rPr>
              <w:t>If an entity has elected to apply IFRS 18 for an earlier period than 1 January 2027 and that earlier period begins before the issuance of these amendments, the entity shall apply the amendments from the beginning of the reporting period starting on or after the issuance of the amendments.</w:t>
            </w:r>
          </w:p>
          <w:p w14:paraId="19E15F4C" w14:textId="77777777" w:rsidR="00CE5425" w:rsidRPr="00CE5425" w:rsidRDefault="00CE5425" w:rsidP="00CE5425">
            <w:pPr>
              <w:spacing w:line="360" w:lineRule="auto"/>
              <w:jc w:val="both"/>
              <w:rPr>
                <w:rFonts w:ascii="Nirmala UI" w:hAnsi="Nirmala UI" w:cs="Nirmala UI"/>
                <w:b/>
                <w:bCs/>
                <w:color w:val="7030A0"/>
                <w:sz w:val="28"/>
                <w:szCs w:val="28"/>
              </w:rPr>
            </w:pPr>
          </w:p>
          <w:p w14:paraId="79D21691" w14:textId="7DAA440C" w:rsidR="00CE5425" w:rsidRDefault="00CE5425" w:rsidP="00CE5425">
            <w:pPr>
              <w:spacing w:line="360" w:lineRule="auto"/>
              <w:jc w:val="both"/>
              <w:rPr>
                <w:sz w:val="28"/>
                <w:szCs w:val="28"/>
              </w:rPr>
            </w:pPr>
            <w:r w:rsidRPr="00CE5425">
              <w:rPr>
                <w:rFonts w:ascii="Nirmala UI" w:hAnsi="Nirmala UI" w:cs="Nirmala UI"/>
                <w:b/>
                <w:bCs/>
                <w:color w:val="7030A0"/>
                <w:sz w:val="28"/>
                <w:szCs w:val="28"/>
              </w:rPr>
              <w:t>SIRC of ICAI agrees with the IASB’s proposals on the effective date and transition, namely that the amendments should be finalised in time for the initial application of IFRS 18.</w:t>
            </w:r>
            <w:r w:rsidR="00781E81">
              <w:rPr>
                <w:rFonts w:ascii="Nirmala UI" w:hAnsi="Nirmala UI" w:cs="Nirmala UI"/>
                <w:b/>
                <w:bCs/>
                <w:color w:val="7030A0"/>
                <w:sz w:val="28"/>
                <w:szCs w:val="28"/>
              </w:rPr>
              <w:t xml:space="preserve"> The effective date and transition could be 1 April 2027 that gives ample time to organization to implement the amended IFRS.</w:t>
            </w:r>
          </w:p>
        </w:tc>
      </w:tr>
    </w:tbl>
    <w:p w14:paraId="49489912" w14:textId="77777777" w:rsidR="009C05C3" w:rsidRPr="009C05C3" w:rsidRDefault="009C05C3" w:rsidP="009C05C3">
      <w:pPr>
        <w:rPr>
          <w:sz w:val="28"/>
          <w:szCs w:val="28"/>
        </w:rPr>
      </w:pPr>
    </w:p>
    <w:sectPr w:rsidR="009C05C3" w:rsidRPr="009C05C3">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BEAB7E" w14:textId="77777777" w:rsidR="003210B4" w:rsidRDefault="003210B4" w:rsidP="00891E63">
      <w:pPr>
        <w:spacing w:after="0" w:line="240" w:lineRule="auto"/>
      </w:pPr>
      <w:r>
        <w:separator/>
      </w:r>
    </w:p>
  </w:endnote>
  <w:endnote w:type="continuationSeparator" w:id="0">
    <w:p w14:paraId="12BC2F8D" w14:textId="77777777" w:rsidR="003210B4" w:rsidRDefault="003210B4" w:rsidP="00891E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Nirmala UI">
    <w:panose1 w:val="020B0502040204020203"/>
    <w:charset w:val="00"/>
    <w:family w:val="swiss"/>
    <w:pitch w:val="variable"/>
    <w:sig w:usb0="80FF8023" w:usb1="0200004A" w:usb2="000002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97900725"/>
      <w:docPartObj>
        <w:docPartGallery w:val="Page Numbers (Bottom of Page)"/>
        <w:docPartUnique/>
      </w:docPartObj>
    </w:sdtPr>
    <w:sdtEndPr>
      <w:rPr>
        <w:noProof/>
      </w:rPr>
    </w:sdtEndPr>
    <w:sdtContent>
      <w:p w14:paraId="6CC8376E" w14:textId="136A8CC6" w:rsidR="00891E63" w:rsidRDefault="00891E6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EDCA504" w14:textId="77777777" w:rsidR="00891E63" w:rsidRDefault="00891E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A99DA9" w14:textId="77777777" w:rsidR="003210B4" w:rsidRDefault="003210B4" w:rsidP="00891E63">
      <w:pPr>
        <w:spacing w:after="0" w:line="240" w:lineRule="auto"/>
      </w:pPr>
      <w:r>
        <w:separator/>
      </w:r>
    </w:p>
  </w:footnote>
  <w:footnote w:type="continuationSeparator" w:id="0">
    <w:p w14:paraId="66DED242" w14:textId="77777777" w:rsidR="003210B4" w:rsidRDefault="003210B4" w:rsidP="00891E6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5C3"/>
    <w:rsid w:val="002B527B"/>
    <w:rsid w:val="003210B4"/>
    <w:rsid w:val="004F6449"/>
    <w:rsid w:val="00714B38"/>
    <w:rsid w:val="00781E81"/>
    <w:rsid w:val="008268C6"/>
    <w:rsid w:val="00891E63"/>
    <w:rsid w:val="009C05C3"/>
    <w:rsid w:val="00B31713"/>
    <w:rsid w:val="00BD7947"/>
    <w:rsid w:val="00C55D7B"/>
    <w:rsid w:val="00CE5425"/>
    <w:rsid w:val="00DA5706"/>
    <w:rsid w:val="00E10D14"/>
    <w:rsid w:val="00F012CE"/>
    <w:rsid w:val="00F20D9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3AC97D"/>
  <w15:chartTrackingRefBased/>
  <w15:docId w15:val="{7B4A5775-A83E-4AB3-B536-9FD4A9C98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05C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C05C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C05C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C05C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C05C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C05C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05C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05C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05C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05C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C05C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C05C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C05C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C05C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C05C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05C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05C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05C3"/>
    <w:rPr>
      <w:rFonts w:eastAsiaTheme="majorEastAsia" w:cstheme="majorBidi"/>
      <w:color w:val="272727" w:themeColor="text1" w:themeTint="D8"/>
    </w:rPr>
  </w:style>
  <w:style w:type="paragraph" w:styleId="Title">
    <w:name w:val="Title"/>
    <w:basedOn w:val="Normal"/>
    <w:next w:val="Normal"/>
    <w:link w:val="TitleChar"/>
    <w:uiPriority w:val="10"/>
    <w:qFormat/>
    <w:rsid w:val="009C05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05C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05C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05C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05C3"/>
    <w:pPr>
      <w:spacing w:before="160"/>
      <w:jc w:val="center"/>
    </w:pPr>
    <w:rPr>
      <w:i/>
      <w:iCs/>
      <w:color w:val="404040" w:themeColor="text1" w:themeTint="BF"/>
    </w:rPr>
  </w:style>
  <w:style w:type="character" w:customStyle="1" w:styleId="QuoteChar">
    <w:name w:val="Quote Char"/>
    <w:basedOn w:val="DefaultParagraphFont"/>
    <w:link w:val="Quote"/>
    <w:uiPriority w:val="29"/>
    <w:rsid w:val="009C05C3"/>
    <w:rPr>
      <w:i/>
      <w:iCs/>
      <w:color w:val="404040" w:themeColor="text1" w:themeTint="BF"/>
    </w:rPr>
  </w:style>
  <w:style w:type="paragraph" w:styleId="ListParagraph">
    <w:name w:val="List Paragraph"/>
    <w:basedOn w:val="Normal"/>
    <w:uiPriority w:val="34"/>
    <w:qFormat/>
    <w:rsid w:val="009C05C3"/>
    <w:pPr>
      <w:ind w:left="720"/>
      <w:contextualSpacing/>
    </w:pPr>
  </w:style>
  <w:style w:type="character" w:styleId="IntenseEmphasis">
    <w:name w:val="Intense Emphasis"/>
    <w:basedOn w:val="DefaultParagraphFont"/>
    <w:uiPriority w:val="21"/>
    <w:qFormat/>
    <w:rsid w:val="009C05C3"/>
    <w:rPr>
      <w:i/>
      <w:iCs/>
      <w:color w:val="0F4761" w:themeColor="accent1" w:themeShade="BF"/>
    </w:rPr>
  </w:style>
  <w:style w:type="paragraph" w:styleId="IntenseQuote">
    <w:name w:val="Intense Quote"/>
    <w:basedOn w:val="Normal"/>
    <w:next w:val="Normal"/>
    <w:link w:val="IntenseQuoteChar"/>
    <w:uiPriority w:val="30"/>
    <w:qFormat/>
    <w:rsid w:val="009C05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C05C3"/>
    <w:rPr>
      <w:i/>
      <w:iCs/>
      <w:color w:val="0F4761" w:themeColor="accent1" w:themeShade="BF"/>
    </w:rPr>
  </w:style>
  <w:style w:type="character" w:styleId="IntenseReference">
    <w:name w:val="Intense Reference"/>
    <w:basedOn w:val="DefaultParagraphFont"/>
    <w:uiPriority w:val="32"/>
    <w:qFormat/>
    <w:rsid w:val="009C05C3"/>
    <w:rPr>
      <w:b/>
      <w:bCs/>
      <w:smallCaps/>
      <w:color w:val="0F4761" w:themeColor="accent1" w:themeShade="BF"/>
      <w:spacing w:val="5"/>
    </w:rPr>
  </w:style>
  <w:style w:type="table" w:styleId="TableGrid">
    <w:name w:val="Table Grid"/>
    <w:basedOn w:val="TableNormal"/>
    <w:uiPriority w:val="39"/>
    <w:rsid w:val="009C05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527B"/>
    <w:rPr>
      <w:color w:val="467886" w:themeColor="hyperlink"/>
      <w:u w:val="single"/>
    </w:rPr>
  </w:style>
  <w:style w:type="character" w:styleId="UnresolvedMention">
    <w:name w:val="Unresolved Mention"/>
    <w:basedOn w:val="DefaultParagraphFont"/>
    <w:uiPriority w:val="99"/>
    <w:semiHidden/>
    <w:unhideWhenUsed/>
    <w:rsid w:val="002B527B"/>
    <w:rPr>
      <w:color w:val="605E5C"/>
      <w:shd w:val="clear" w:color="auto" w:fill="E1DFDD"/>
    </w:rPr>
  </w:style>
  <w:style w:type="paragraph" w:styleId="Header">
    <w:name w:val="header"/>
    <w:basedOn w:val="Normal"/>
    <w:link w:val="HeaderChar"/>
    <w:uiPriority w:val="99"/>
    <w:unhideWhenUsed/>
    <w:rsid w:val="00891E6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1E63"/>
  </w:style>
  <w:style w:type="paragraph" w:styleId="Footer">
    <w:name w:val="footer"/>
    <w:basedOn w:val="Normal"/>
    <w:link w:val="FooterChar"/>
    <w:uiPriority w:val="99"/>
    <w:unhideWhenUsed/>
    <w:rsid w:val="00891E63"/>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1E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138</TotalTime>
  <Pages>6</Pages>
  <Words>1027</Words>
  <Characters>5860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sircoficai 2027</dc:creator>
  <cp:keywords/>
  <dc:description/>
  <cp:lastModifiedBy>sircoficai 2027</cp:lastModifiedBy>
  <cp:revision>10</cp:revision>
  <dcterms:created xsi:type="dcterms:W3CDTF">2026-03-19T10:11:00Z</dcterms:created>
  <dcterms:modified xsi:type="dcterms:W3CDTF">2026-03-27T09:17:00Z</dcterms:modified>
</cp:coreProperties>
</file>